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Contractor and Visitor Management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visitors and contractors are identified, supervised, and managed safely.</w:t>
      </w:r>
    </w:p>
    <w:p>
      <w:pPr>
        <w:pStyle w:val="Heading1"/>
      </w:pPr>
      <w:r>
        <w:t>Scope</w:t>
      </w:r>
    </w:p>
    <w:p>
      <w:r>
        <w:t>All visitors, contractors, and third parties attending Koala Klubs sites.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No unidentified adult should have unsupervised access to children.</w:t>
      </w:r>
    </w:p>
    <w:p>
      <w:pPr>
        <w:pStyle w:val="ListBullet"/>
        <w:spacing w:after="40"/>
      </w:pPr>
      <w:r>
        <w:t>Contractor activity must not create unmanaged risk for children or staff.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sign-in systems, badges or visual identification, supervision, and site-specific safety briefings.</w:t>
      </w:r>
    </w:p>
    <w:p>
      <w:pPr>
        <w:pStyle w:val="ListBullet"/>
        <w:spacing w:after="40"/>
      </w:pPr>
      <w:r>
        <w:t>Check safeguarding and work-area controls where contractors are present during sessions.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Unknown adults should be challenged politely and referred to the site lead; any concern is escalated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Visitor sign-in</w:t>
      </w:r>
    </w:p>
    <w:p>
      <w:pPr>
        <w:pStyle w:val="ListBullet"/>
        <w:spacing w:after="40"/>
      </w:pPr>
      <w:r>
        <w:t>Contractor induction checklist</w:t>
      </w:r>
    </w:p>
    <w:p>
      <w:pPr>
        <w:pStyle w:val="ListBullet"/>
        <w:spacing w:after="40"/>
      </w:pPr>
      <w:r>
        <w:t>Permit to work record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Contractor and Visitor Management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